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B1" w:rsidRPr="00400666" w:rsidRDefault="00D17EB1" w:rsidP="00D17EB1">
      <w:pPr>
        <w:tabs>
          <w:tab w:val="left" w:pos="1440"/>
          <w:tab w:val="left" w:pos="10440"/>
          <w:tab w:val="left" w:pos="11700"/>
          <w:tab w:val="left" w:pos="17640"/>
        </w:tabs>
        <w:jc w:val="center"/>
        <w:rPr>
          <w:rFonts w:ascii="黑体" w:eastAsia="黑体"/>
          <w:b/>
          <w:sz w:val="32"/>
          <w:szCs w:val="32"/>
        </w:rPr>
      </w:pPr>
      <w:r w:rsidRPr="00400666">
        <w:rPr>
          <w:rFonts w:ascii="黑体" w:eastAsia="黑体" w:hint="eastAsia"/>
          <w:b/>
          <w:sz w:val="32"/>
          <w:szCs w:val="32"/>
        </w:rPr>
        <w:t>第二届张晋藩法律史学基金会获奖论文名单</w:t>
      </w:r>
    </w:p>
    <w:p w:rsidR="00D17EB1" w:rsidRPr="00400666" w:rsidRDefault="00D17EB1" w:rsidP="00D17EB1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333333"/>
          <w:kern w:val="0"/>
        </w:rPr>
      </w:pPr>
      <w:r w:rsidRPr="00400666">
        <w:rPr>
          <w:rFonts w:ascii="宋体" w:hAnsi="宋体" w:cs="宋体"/>
          <w:b/>
          <w:color w:val="333333"/>
          <w:kern w:val="0"/>
        </w:rPr>
        <w:t xml:space="preserve">一等奖（以姓氏笔画为序）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39"/>
        <w:gridCol w:w="6822"/>
        <w:gridCol w:w="5041"/>
      </w:tblGrid>
      <w:tr w:rsidR="00D17EB1" w:rsidRPr="008502F7" w:rsidTr="002A1E89">
        <w:trPr>
          <w:tblCellSpacing w:w="0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南杰·隆英强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从藏族法文化到中华法文化：中国传统法律文化与藏族传统法律文化的关系为视角 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中国政法大学法律</w:t>
            </w:r>
            <w:smartTag w:uri="urn:schemas-microsoft-com:office:smarttags" w:element="PersonName">
              <w:smartTagPr>
                <w:attr w:name="ProductID" w:val="史学"/>
              </w:smartTagPr>
              <w:r w:rsidRPr="0008499F">
                <w:rPr>
                  <w:rFonts w:ascii="宋体" w:hAnsi="宋体" w:cs="宋体"/>
                  <w:color w:val="333333"/>
                  <w:kern w:val="0"/>
                  <w:sz w:val="21"/>
                  <w:szCs w:val="21"/>
                </w:rPr>
                <w:t>史学</w:t>
              </w:r>
            </w:smartTag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博士研究生 </w:t>
            </w:r>
          </w:p>
        </w:tc>
      </w:tr>
      <w:tr w:rsidR="00D17EB1" w:rsidRPr="008502F7" w:rsidTr="002A1E89">
        <w:trPr>
          <w:tblCellSpacing w:w="0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周  浩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“罗文干案”与民国司法 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清华大学法学院本科生 </w:t>
            </w:r>
          </w:p>
        </w:tc>
      </w:tr>
    </w:tbl>
    <w:p w:rsidR="00D17EB1" w:rsidRPr="0008499F" w:rsidRDefault="00D17EB1" w:rsidP="00D17EB1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</w:p>
    <w:p w:rsidR="00D17EB1" w:rsidRPr="00400666" w:rsidRDefault="00D17EB1" w:rsidP="00D17EB1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333333"/>
          <w:kern w:val="0"/>
        </w:rPr>
      </w:pPr>
      <w:r w:rsidRPr="00400666">
        <w:rPr>
          <w:rFonts w:ascii="宋体" w:hAnsi="宋体" w:cs="宋体"/>
          <w:b/>
          <w:color w:val="333333"/>
          <w:kern w:val="0"/>
        </w:rPr>
        <w:t xml:space="preserve">二等奖（以姓氏笔画为序） </w:t>
      </w:r>
    </w:p>
    <w:tbl>
      <w:tblPr>
        <w:tblW w:w="496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18"/>
        <w:gridCol w:w="7344"/>
        <w:gridCol w:w="4935"/>
      </w:tblGrid>
      <w:tr w:rsidR="00D17EB1" w:rsidRPr="008502F7" w:rsidTr="002A1E89">
        <w:trPr>
          <w:tblCellSpacing w:w="0" w:type="dxa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王  旭 </w:t>
            </w: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唐代台狱废置问题考论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天津师范大学历史学院硕士研究生 </w:t>
            </w:r>
          </w:p>
        </w:tc>
      </w:tr>
      <w:tr w:rsidR="00D17EB1" w:rsidRPr="008502F7" w:rsidTr="002A1E89">
        <w:trPr>
          <w:tblCellSpacing w:w="0" w:type="dxa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邓长春 </w:t>
            </w: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南朝律学研究——以会稽孔氏律学传习为视角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西南政法大学法学院法律</w:t>
            </w:r>
            <w:smartTag w:uri="urn:schemas-microsoft-com:office:smarttags" w:element="PersonName">
              <w:smartTagPr>
                <w:attr w:name="ProductID" w:val="史专业"/>
              </w:smartTagPr>
              <w:r w:rsidRPr="0008499F">
                <w:rPr>
                  <w:rFonts w:ascii="宋体" w:hAnsi="宋体" w:cs="宋体"/>
                  <w:color w:val="333333"/>
                  <w:kern w:val="0"/>
                  <w:sz w:val="21"/>
                  <w:szCs w:val="21"/>
                </w:rPr>
                <w:t>史专业</w:t>
              </w:r>
            </w:smartTag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博士研究生 </w:t>
            </w:r>
          </w:p>
        </w:tc>
      </w:tr>
      <w:tr w:rsidR="00D17EB1" w:rsidRPr="008502F7" w:rsidTr="002A1E89">
        <w:trPr>
          <w:tblCellSpacing w:w="0" w:type="dxa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张文辉 </w:t>
            </w: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罗马共和晚期“元老院终极决议”宪政维度之分析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南开大学历史学院硕士研究生 </w:t>
            </w:r>
          </w:p>
        </w:tc>
      </w:tr>
      <w:tr w:rsidR="00D17EB1" w:rsidRPr="008502F7" w:rsidTr="002A1E89">
        <w:trPr>
          <w:tblCellSpacing w:w="0" w:type="dxa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杨楠楠 </w:t>
            </w: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浅析《乐素堂文集》中吉同钧的保守主义法律思想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北京大学法学院硕士研究生 </w:t>
            </w:r>
          </w:p>
        </w:tc>
      </w:tr>
      <w:tr w:rsidR="00D17EB1" w:rsidRPr="008502F7" w:rsidTr="002A1E89">
        <w:trPr>
          <w:tblCellSpacing w:w="0" w:type="dxa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瞿  见 </w:t>
            </w: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清中后期黔东南文斗寨苗族典制刍论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西南政法大学民商法学院本科生 </w:t>
            </w:r>
          </w:p>
        </w:tc>
      </w:tr>
    </w:tbl>
    <w:p w:rsidR="00D17EB1" w:rsidRDefault="00D17EB1" w:rsidP="00D17EB1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17EB1" w:rsidRPr="00400666" w:rsidRDefault="00D17EB1" w:rsidP="00D17EB1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333333"/>
          <w:kern w:val="0"/>
        </w:rPr>
      </w:pPr>
      <w:r w:rsidRPr="00400666">
        <w:rPr>
          <w:rFonts w:ascii="宋体" w:hAnsi="宋体" w:cs="宋体"/>
          <w:b/>
          <w:color w:val="333333"/>
          <w:kern w:val="0"/>
        </w:rPr>
        <w:t xml:space="preserve">三等奖（以姓氏笔画为序） </w:t>
      </w:r>
    </w:p>
    <w:tbl>
      <w:tblPr>
        <w:tblW w:w="496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0"/>
        <w:gridCol w:w="7402"/>
        <w:gridCol w:w="4935"/>
      </w:tblGrid>
      <w:tr w:rsidR="00D17EB1" w:rsidRPr="008502F7" w:rsidTr="002A1E89">
        <w:trPr>
          <w:tblCellSpacing w:w="0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王海军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从“私造斛斗秤尺”看清代度量衡制度 </w:t>
            </w:r>
          </w:p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 ——多元法律的冲突与互动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华东政法大学法律</w:t>
            </w:r>
            <w:smartTag w:uri="urn:schemas-microsoft-com:office:smarttags" w:element="PersonName">
              <w:smartTagPr>
                <w:attr w:name="ProductID" w:val="史专业"/>
              </w:smartTagPr>
              <w:r w:rsidRPr="0008499F">
                <w:rPr>
                  <w:rFonts w:ascii="宋体" w:hAnsi="宋体" w:cs="宋体"/>
                  <w:color w:val="333333"/>
                  <w:kern w:val="0"/>
                  <w:sz w:val="21"/>
                  <w:szCs w:val="21"/>
                </w:rPr>
                <w:t>史专业</w:t>
              </w:r>
            </w:smartTag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博士研究生 </w:t>
            </w:r>
          </w:p>
        </w:tc>
      </w:tr>
      <w:tr w:rsidR="00D17EB1" w:rsidRPr="0008499F" w:rsidTr="002A1E89">
        <w:trPr>
          <w:tblCellSpacing w:w="0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王其林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清末教案与“采生折割”律之遭遇 </w:t>
            </w:r>
          </w:p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 ——以社会变迁下的西医传入为视角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西南政法大学法律</w:t>
            </w:r>
            <w:smartTag w:uri="urn:schemas-microsoft-com:office:smarttags" w:element="PersonName">
              <w:smartTagPr>
                <w:attr w:name="ProductID" w:val="史专业"/>
              </w:smartTagPr>
              <w:r w:rsidRPr="0008499F">
                <w:rPr>
                  <w:rFonts w:ascii="宋体" w:hAnsi="宋体" w:cs="宋体"/>
                  <w:color w:val="333333"/>
                  <w:kern w:val="0"/>
                  <w:sz w:val="21"/>
                  <w:szCs w:val="21"/>
                </w:rPr>
                <w:t>史专业</w:t>
              </w:r>
            </w:smartTag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博士研究生 </w:t>
            </w:r>
          </w:p>
        </w:tc>
      </w:tr>
      <w:tr w:rsidR="00D17EB1" w:rsidRPr="0008499F" w:rsidTr="002A1E89">
        <w:trPr>
          <w:tblCellSpacing w:w="0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lastRenderedPageBreak/>
              <w:t xml:space="preserve">史志强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伏惟尚飨：清代中期立嗣继承研究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北京大学法律硕士研究生 </w:t>
            </w:r>
          </w:p>
        </w:tc>
      </w:tr>
      <w:tr w:rsidR="00D17EB1" w:rsidRPr="0008499F" w:rsidTr="002A1E89">
        <w:trPr>
          <w:tblCellSpacing w:w="0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刘  寅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司法审查的先声：博纳姆医生案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中国政法大学硕士研究生 </w:t>
            </w:r>
          </w:p>
        </w:tc>
      </w:tr>
      <w:tr w:rsidR="00D17EB1" w:rsidRPr="0008499F" w:rsidTr="002A1E89">
        <w:trPr>
          <w:tblCellSpacing w:w="0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张本照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论清代秋审情实人数之变化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北京大学</w:t>
            </w:r>
            <w:smartTag w:uri="urn:schemas-microsoft-com:office:smarttags" w:element="PersonName">
              <w:smartTagPr>
                <w:attr w:name="ProductID" w:val="历史学"/>
              </w:smartTagPr>
              <w:r w:rsidRPr="0008499F">
                <w:rPr>
                  <w:rFonts w:ascii="宋体" w:hAnsi="宋体" w:cs="宋体"/>
                  <w:color w:val="333333"/>
                  <w:kern w:val="0"/>
                  <w:sz w:val="21"/>
                  <w:szCs w:val="21"/>
                </w:rPr>
                <w:t>历史学</w:t>
              </w:r>
            </w:smartTag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博士研究生 </w:t>
            </w:r>
          </w:p>
        </w:tc>
      </w:tr>
      <w:tr w:rsidR="00D17EB1" w:rsidRPr="0008499F" w:rsidTr="002A1E89">
        <w:trPr>
          <w:tblCellSpacing w:w="0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李秀芳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探析先秦时期赘婿法律地位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华南师范大学法学院硕士研究生 </w:t>
            </w:r>
          </w:p>
        </w:tc>
      </w:tr>
      <w:tr w:rsidR="00D17EB1" w:rsidRPr="0008499F" w:rsidTr="002A1E89">
        <w:trPr>
          <w:tblCellSpacing w:w="0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陈  夷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论“矜老”制度的形成与流变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中国政法大学法学院硕士研究生 </w:t>
            </w:r>
          </w:p>
        </w:tc>
      </w:tr>
      <w:tr w:rsidR="00D17EB1" w:rsidRPr="0008499F" w:rsidTr="002A1E89">
        <w:trPr>
          <w:tblCellSpacing w:w="0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周文虎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从《刑案汇览》管窥清代自尽者的心态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中国政法大学法学院硕士研究生 </w:t>
            </w:r>
          </w:p>
        </w:tc>
      </w:tr>
      <w:tr w:rsidR="00D17EB1" w:rsidRPr="0008499F" w:rsidTr="002A1E89">
        <w:trPr>
          <w:tblCellSpacing w:w="0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余煜刚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传统典制在民国民法中的重述：结构、要素与话语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中山大学法学院硕士研究生 </w:t>
            </w:r>
          </w:p>
        </w:tc>
      </w:tr>
      <w:tr w:rsidR="00D17EB1" w:rsidRPr="0008499F" w:rsidTr="002A1E89">
        <w:trPr>
          <w:trHeight w:val="503"/>
          <w:tblCellSpacing w:w="0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蔡亚飞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清代乡土社会民事调解制度的再审视 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EB1" w:rsidRPr="0008499F" w:rsidRDefault="00D17EB1" w:rsidP="002A1E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08499F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 xml:space="preserve">南京大学法学院硕士研究生 </w:t>
            </w:r>
          </w:p>
        </w:tc>
      </w:tr>
    </w:tbl>
    <w:p w:rsidR="00D17EB1" w:rsidRPr="006A3044" w:rsidRDefault="00D17EB1" w:rsidP="00D17EB1">
      <w:pPr>
        <w:tabs>
          <w:tab w:val="left" w:pos="1440"/>
          <w:tab w:val="left" w:pos="10440"/>
          <w:tab w:val="left" w:pos="11700"/>
          <w:tab w:val="left" w:pos="17640"/>
        </w:tabs>
        <w:spacing w:line="360" w:lineRule="auto"/>
        <w:rPr>
          <w:rFonts w:ascii="宋体" w:hAnsi="宋体"/>
          <w:color w:val="FF0000"/>
        </w:rPr>
      </w:pPr>
    </w:p>
    <w:p w:rsidR="00377EC6" w:rsidRPr="00D17EB1" w:rsidRDefault="00377EC6"/>
    <w:sectPr w:rsidR="00377EC6" w:rsidRPr="00D17EB1" w:rsidSect="00F57620">
      <w:footerReference w:type="even" r:id="rId6"/>
      <w:footerReference w:type="default" r:id="rId7"/>
      <w:pgSz w:w="16840" w:h="11907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6A" w:rsidRDefault="005F636A" w:rsidP="00F3731E">
      <w:r>
        <w:separator/>
      </w:r>
    </w:p>
  </w:endnote>
  <w:endnote w:type="continuationSeparator" w:id="1">
    <w:p w:rsidR="005F636A" w:rsidRDefault="005F636A" w:rsidP="00F3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21" w:rsidRDefault="00F3731E" w:rsidP="007722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7E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7021" w:rsidRDefault="005F63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21" w:rsidRDefault="00F3731E" w:rsidP="007722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7E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0666">
      <w:rPr>
        <w:rStyle w:val="a4"/>
        <w:noProof/>
      </w:rPr>
      <w:t>1</w:t>
    </w:r>
    <w:r>
      <w:rPr>
        <w:rStyle w:val="a4"/>
      </w:rPr>
      <w:fldChar w:fldCharType="end"/>
    </w:r>
  </w:p>
  <w:p w:rsidR="00F07021" w:rsidRDefault="005F63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6A" w:rsidRDefault="005F636A" w:rsidP="00F3731E">
      <w:r>
        <w:separator/>
      </w:r>
    </w:p>
  </w:footnote>
  <w:footnote w:type="continuationSeparator" w:id="1">
    <w:p w:rsidR="005F636A" w:rsidRDefault="005F636A" w:rsidP="00F37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EB1"/>
    <w:rsid w:val="00377EC6"/>
    <w:rsid w:val="00400666"/>
    <w:rsid w:val="005F636A"/>
    <w:rsid w:val="00C604ED"/>
    <w:rsid w:val="00D17EB1"/>
    <w:rsid w:val="00F3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B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17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17EB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17EB1"/>
  </w:style>
  <w:style w:type="paragraph" w:styleId="a5">
    <w:name w:val="header"/>
    <w:basedOn w:val="a"/>
    <w:link w:val="Char0"/>
    <w:uiPriority w:val="99"/>
    <w:semiHidden/>
    <w:unhideWhenUsed/>
    <w:rsid w:val="0040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006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Company>flsxyjy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2014-04-11T07:36:00Z</dcterms:created>
  <dcterms:modified xsi:type="dcterms:W3CDTF">2014-04-11T07:46:00Z</dcterms:modified>
</cp:coreProperties>
</file>